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both"/>
        <w:rPr>
          <w:rFonts w:hint="default" w:ascii="黑体" w:hAnsi="黑体" w:eastAsia="黑体"/>
          <w:b/>
          <w:sz w:val="36"/>
          <w:szCs w:val="36"/>
          <w:lang w:val="en-US" w:eastAsia="zh-CN"/>
        </w:rPr>
      </w:pPr>
      <w:r>
        <w:rPr>
          <w:rFonts w:hint="eastAsia" w:ascii="黑体" w:hAnsi="黑体" w:eastAsia="黑体"/>
          <w:b/>
          <w:sz w:val="36"/>
          <w:szCs w:val="36"/>
          <w:lang w:val="en-US" w:eastAsia="zh-CN"/>
        </w:rPr>
        <w:t>附件</w:t>
      </w:r>
      <w:bookmarkStart w:id="0" w:name="_GoBack"/>
      <w:bookmarkEnd w:id="0"/>
      <w:r>
        <w:rPr>
          <w:rFonts w:hint="eastAsia" w:ascii="黑体" w:hAnsi="黑体" w:eastAsia="黑体"/>
          <w:b/>
          <w:sz w:val="36"/>
          <w:szCs w:val="36"/>
          <w:lang w:val="en-US" w:eastAsia="zh-CN"/>
        </w:rPr>
        <w:t>1：</w:t>
      </w:r>
    </w:p>
    <w:p>
      <w:pPr>
        <w:spacing w:before="312" w:beforeLines="100" w:line="360" w:lineRule="auto"/>
        <w:jc w:val="center"/>
        <w:rPr>
          <w:rFonts w:hint="eastAsia" w:ascii="黑体" w:hAnsi="黑体" w:eastAsia="黑体"/>
          <w:b/>
          <w:sz w:val="40"/>
          <w:szCs w:val="44"/>
          <w:lang w:val="en-US" w:eastAsia="zh-CN"/>
        </w:rPr>
      </w:pPr>
      <w:r>
        <w:rPr>
          <w:rFonts w:ascii="黑体" w:hAnsi="黑体" w:eastAsia="黑体"/>
          <w:b/>
          <w:sz w:val="40"/>
          <w:szCs w:val="44"/>
        </w:rPr>
        <w:t>2</w:t>
      </w:r>
      <w:r>
        <w:rPr>
          <w:rFonts w:hint="eastAsia" w:ascii="黑体" w:hAnsi="黑体" w:eastAsia="黑体"/>
          <w:b/>
          <w:sz w:val="40"/>
          <w:szCs w:val="44"/>
        </w:rPr>
        <w:t>02</w:t>
      </w:r>
      <w:r>
        <w:rPr>
          <w:rFonts w:hint="eastAsia" w:ascii="黑体" w:hAnsi="黑体" w:eastAsia="黑体"/>
          <w:b/>
          <w:sz w:val="40"/>
          <w:szCs w:val="44"/>
          <w:lang w:val="en-US" w:eastAsia="zh-CN"/>
        </w:rPr>
        <w:t>2</w:t>
      </w:r>
      <w:r>
        <w:rPr>
          <w:rFonts w:hint="eastAsia" w:ascii="黑体" w:hAnsi="黑体" w:eastAsia="黑体"/>
          <w:b/>
          <w:sz w:val="40"/>
          <w:szCs w:val="44"/>
        </w:rPr>
        <w:t>年度天津市教育科学规划</w:t>
      </w:r>
      <w:r>
        <w:rPr>
          <w:rFonts w:hint="eastAsia" w:ascii="黑体" w:hAnsi="黑体" w:eastAsia="黑体"/>
          <w:b/>
          <w:sz w:val="40"/>
          <w:szCs w:val="44"/>
          <w:lang w:val="en-US" w:eastAsia="zh-CN"/>
        </w:rPr>
        <w:t>重大课题和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sz w:val="40"/>
          <w:szCs w:val="44"/>
        </w:rPr>
      </w:pPr>
      <w:r>
        <w:rPr>
          <w:rFonts w:hint="eastAsia" w:ascii="黑体" w:hAnsi="黑体" w:eastAsia="黑体"/>
          <w:b/>
          <w:sz w:val="40"/>
          <w:szCs w:val="44"/>
          <w:lang w:val="en-US" w:eastAsia="zh-CN"/>
        </w:rPr>
        <w:t>重点</w:t>
      </w:r>
      <w:r>
        <w:rPr>
          <w:rFonts w:hint="eastAsia" w:ascii="黑体" w:hAnsi="黑体" w:eastAsia="黑体"/>
          <w:b/>
          <w:sz w:val="40"/>
          <w:szCs w:val="44"/>
        </w:rPr>
        <w:t>课题指南</w:t>
      </w:r>
    </w:p>
    <w:p>
      <w:pPr>
        <w:spacing w:line="360" w:lineRule="auto"/>
        <w:ind w:firstLine="643" w:firstLineChars="200"/>
        <w:rPr>
          <w:rFonts w:ascii="仿宋" w:hAnsi="仿宋" w:eastAsia="仿宋"/>
          <w:b/>
          <w:sz w:val="32"/>
          <w:szCs w:val="32"/>
        </w:rPr>
      </w:pPr>
    </w:p>
    <w:p>
      <w:pPr>
        <w:adjustRightInd w:val="0"/>
        <w:snapToGrid w:val="0"/>
        <w:spacing w:line="560" w:lineRule="exact"/>
        <w:jc w:val="center"/>
        <w:rPr>
          <w:rFonts w:ascii="仿宋_GB2312" w:eastAsia="仿宋_GB2312" w:cs="仿宋_GB2312"/>
          <w:b/>
          <w:sz w:val="36"/>
          <w:szCs w:val="32"/>
        </w:rPr>
      </w:pPr>
      <w:r>
        <w:rPr>
          <w:rFonts w:hint="eastAsia" w:ascii="仿宋_GB2312" w:eastAsia="仿宋_GB2312" w:cs="仿宋_GB2312"/>
          <w:b/>
          <w:sz w:val="36"/>
          <w:szCs w:val="32"/>
        </w:rPr>
        <w:t>一、重大课题</w:t>
      </w:r>
    </w:p>
    <w:p>
      <w:pPr>
        <w:pStyle w:val="26"/>
        <w:numPr>
          <w:ilvl w:val="0"/>
          <w:numId w:val="1"/>
        </w:numPr>
        <w:adjustRightInd w:val="0"/>
        <w:snapToGrid w:val="0"/>
        <w:spacing w:line="560" w:lineRule="exact"/>
        <w:ind w:firstLineChars="0"/>
        <w:rPr>
          <w:rFonts w:eastAsia="仿宋_GB2312" w:cs="仿宋_GB2312"/>
          <w:sz w:val="32"/>
          <w:szCs w:val="32"/>
        </w:rPr>
      </w:pPr>
      <w:r>
        <w:rPr>
          <w:rFonts w:hint="eastAsia" w:eastAsia="仿宋_GB2312" w:cs="仿宋_GB2312"/>
          <w:sz w:val="32"/>
          <w:szCs w:val="32"/>
        </w:rPr>
        <w:t>“双减”背景下校外培训机构综合治理与课后服务能力提升研究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“双减”背景下提高基础教育各学科作业质量的系统实践研究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面向我市重点产业链的地方本科院校产教融合协同育人模式与机制研究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新时代标杆城市中等职业教育改革发展的政策供给研究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基于天津区域优秀传统文化传承的高校美育实践路径研究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新时代老年教育评价体系构建研究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新时代教育招生考试机构专业化与现代化发展研究</w:t>
      </w:r>
    </w:p>
    <w:p>
      <w:pPr>
        <w:adjustRightInd w:val="0"/>
        <w:snapToGrid w:val="0"/>
        <w:spacing w:line="560" w:lineRule="exact"/>
        <w:jc w:val="center"/>
        <w:rPr>
          <w:rFonts w:ascii="仿宋_GB2312" w:eastAsia="仿宋_GB2312" w:cs="仿宋_GB2312"/>
          <w:b/>
          <w:sz w:val="36"/>
          <w:szCs w:val="32"/>
        </w:rPr>
      </w:pPr>
      <w:r>
        <w:rPr>
          <w:rFonts w:hint="eastAsia" w:ascii="仿宋_GB2312" w:eastAsia="仿宋_GB2312" w:cs="仿宋_GB2312"/>
          <w:b/>
          <w:sz w:val="36"/>
          <w:szCs w:val="32"/>
        </w:rPr>
        <w:t>二、重点课题</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lang w:val="en-US" w:eastAsia="zh-CN"/>
        </w:rPr>
        <w:t>少先队工作的理论研究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天津市地方高校学科专业体系优化和动态布局战略研究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线上考试在大规模水平性考试中的应用研究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服务“制造业立市”部署，全面提升我市高校科技创新能力研究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基于“一带一路”的天津方言课程建设</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2023-2025年天津市高等学校科学技术与学科专业发展策略研究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教育家型教师成长与培养的天津先进经验研究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基于“大思政课”理念的思想政治理论课创新与实践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高质量发展背景下高等教育财政支出与人才吸引力研究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双减背景下义务教育学科教学新样态研究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天津市高校创新创业激励政策研究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“双减”背景下作业管理、设计与评价的研究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基于EPIP工程实践创新项目的教学模式创新与实践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新时代劳动综合育人功能研究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“双减”背景下，以提质增效为导向的作业设计实践研究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“党的领导”浸润中小学课堂的实践研究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高校大学生志愿服务 ——实施高质量、特色化的“升级版”中小学课后美育教育</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“鲁班工坊”对接合作国师资双语能力提升研究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习近平新时代理论经济学学科的人才培养方式研究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信息化2.0时代信息技术与教育教学创新融合的研究与实践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新时代集体教育深化的研究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面向学生终身学习能力培养的线上线下融合式教学模式研究与实践</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融合教育学生反向支持课程资源体系的建设研究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“双减”背景下中小学体育课后服务高质量供给研究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健康中国背景下“医防融合”全科医生继续教育研究</w:t>
      </w:r>
    </w:p>
    <w:p>
      <w:pPr>
        <w:pStyle w:val="26"/>
        <w:numPr>
          <w:ilvl w:val="0"/>
          <w:numId w:val="0"/>
        </w:numPr>
        <w:adjustRightInd w:val="0"/>
        <w:snapToGrid w:val="0"/>
        <w:spacing w:line="560" w:lineRule="exact"/>
        <w:ind w:left="640" w:leftChars="0"/>
        <w:rPr>
          <w:rFonts w:ascii="仿宋_GB2312" w:eastAsia="仿宋_GB2312" w:cs="仿宋_GB2312"/>
          <w:sz w:val="32"/>
          <w:szCs w:val="32"/>
        </w:rPr>
      </w:pPr>
    </w:p>
    <w:p>
      <w:pPr>
        <w:adjustRightInd w:val="0"/>
        <w:snapToGrid w:val="0"/>
        <w:spacing w:line="560" w:lineRule="exact"/>
        <w:rPr>
          <w:rFonts w:ascii="仿宋_GB2312" w:eastAsia="仿宋_GB2312" w:cs="仿宋_GB2312"/>
          <w:sz w:val="32"/>
          <w:szCs w:val="32"/>
        </w:rPr>
      </w:pPr>
    </w:p>
    <w:sectPr>
      <w:headerReference r:id="rId3" w:type="default"/>
      <w:footerReference r:id="rId4" w:type="default"/>
      <w:pgSz w:w="11906" w:h="16838"/>
      <w:pgMar w:top="1440" w:right="1134" w:bottom="1440"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文星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31657"/>
    <w:multiLevelType w:val="multilevel"/>
    <w:tmpl w:val="34931657"/>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06260E3"/>
    <w:multiLevelType w:val="multilevel"/>
    <w:tmpl w:val="606260E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